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Hotzilo Lead Reactivation Pilot Agreement</w:t>
      </w:r>
    </w:p>
    <w:p>
      <w:r>
        <w:t>Hotzilo will reconnect with eligible past remodeling inquiries and coordinate qualified consultations for Contractor. This agreement sets the scope, payment rules, and responsibilities for a limited pilot. Complete all blanks and the launch criteria before signing. No customer outreach may begin until the launch requirements are satisfied.</w:t>
      </w:r>
    </w:p>
    <w:p>
      <w:pPr>
        <w:pStyle w:val="Heading1"/>
      </w:pPr>
      <w:r>
        <w:t>1 Parties and pilot terms</w:t>
      </w:r>
    </w:p>
    <w:p>
      <w:r>
        <w:t>Effective date: ____________________</w:t>
        <w:br/>
        <w:t>Hotzilo legal entity and any DBA: ________________________________________</w:t>
        <w:br/>
        <w:t>Business address: ____________________________________________________</w:t>
        <w:br/>
        <w:t>Authorized contact and notice email: _____________________________________</w:t>
        <w:br/>
        <w:t>Contractor legal entity and any DBA: _____________________________________</w:t>
        <w:br/>
        <w:t>Business address: ____________________________________________________</w:t>
        <w:br/>
        <w:t>Authorized contact and notice email: _____________________________________</w:t>
      </w:r>
    </w:p>
    <w:tbl>
      <w:tblPr>
        <w:tblStyle w:val="LightShading-Accent1"/>
        <w:tblW w:type="auto" w:w="0"/>
        <w:tblLook w:firstColumn="1" w:firstRow="1" w:lastColumn="0" w:lastRow="0" w:noHBand="0" w:noVBand="1" w:val="04A0"/>
      </w:tblPr>
      <w:tblGrid>
        <w:gridCol w:w="4968"/>
        <w:gridCol w:w="4968"/>
      </w:tblGrid>
      <w:tr>
        <w:tc>
          <w:tcPr>
            <w:tcW w:type="dxa" w:w="4968"/>
            <w:tcBorders>
              <w:top w:val="single" w:sz="4" w:color="D9D9D9"/>
              <w:left w:val="single" w:sz="4" w:color="D9D9D9"/>
              <w:bottom w:val="single" w:sz="4" w:color="D9D9D9"/>
              <w:right w:val="single" w:sz="4" w:color="D9D9D9"/>
            </w:tcBorders>
          </w:tcPr>
          <w:p>
            <w:r>
              <w:t>Pilot period</w:t>
            </w:r>
          </w:p>
        </w:tc>
        <w:tc>
          <w:tcPr>
            <w:tcW w:type="dxa" w:w="4968"/>
            <w:tcBorders>
              <w:top w:val="single" w:sz="4" w:color="D9D9D9"/>
              <w:left w:val="single" w:sz="4" w:color="D9D9D9"/>
              <w:bottom w:val="single" w:sz="4" w:color="D9D9D9"/>
              <w:right w:val="single" w:sz="4" w:color="D9D9D9"/>
            </w:tcBorders>
          </w:tcPr>
          <w:p>
            <w:r>
              <w:t>30 consecutive calendar days from the mutually confirmed launch date</w:t>
            </w:r>
          </w:p>
        </w:tc>
      </w:tr>
      <w:tr>
        <w:tc>
          <w:tcPr>
            <w:tcW w:type="dxa" w:w="4968"/>
            <w:tcBorders>
              <w:top w:val="single" w:sz="4" w:color="D9D9D9"/>
              <w:left w:val="single" w:sz="4" w:color="D9D9D9"/>
              <w:bottom w:val="single" w:sz="4" w:color="D9D9D9"/>
              <w:right w:val="single" w:sz="4" w:color="D9D9D9"/>
            </w:tcBorders>
          </w:tcPr>
          <w:p>
            <w:r>
              <w:t>Activation fee</w:t>
            </w:r>
          </w:p>
        </w:tc>
        <w:tc>
          <w:tcPr>
            <w:tcW w:type="dxa" w:w="4968"/>
            <w:tcBorders>
              <w:top w:val="single" w:sz="4" w:color="D9D9D9"/>
              <w:left w:val="single" w:sz="4" w:color="D9D9D9"/>
              <w:bottom w:val="single" w:sz="4" w:color="D9D9D9"/>
              <w:right w:val="single" w:sz="4" w:color="D9D9D9"/>
            </w:tcBorders>
          </w:tcPr>
          <w:p>
            <w:r>
              <w:t>$200 once, due before setup begins</w:t>
            </w:r>
          </w:p>
        </w:tc>
      </w:tr>
      <w:tr>
        <w:tc>
          <w:tcPr>
            <w:tcW w:type="dxa" w:w="4968"/>
            <w:tcBorders>
              <w:top w:val="single" w:sz="4" w:color="D9D9D9"/>
              <w:left w:val="single" w:sz="4" w:color="D9D9D9"/>
              <w:bottom w:val="single" w:sz="4" w:color="D9D9D9"/>
              <w:right w:val="single" w:sz="4" w:color="D9D9D9"/>
            </w:tcBorders>
          </w:tcPr>
          <w:p>
            <w:r>
              <w:t>Appointment fee</w:t>
            </w:r>
          </w:p>
        </w:tc>
        <w:tc>
          <w:tcPr>
            <w:tcW w:type="dxa" w:w="4968"/>
            <w:tcBorders>
              <w:top w:val="single" w:sz="4" w:color="D9D9D9"/>
              <w:left w:val="single" w:sz="4" w:color="D9D9D9"/>
              <w:bottom w:val="single" w:sz="4" w:color="D9D9D9"/>
              <w:right w:val="single" w:sz="4" w:color="D9D9D9"/>
            </w:tcBorders>
          </w:tcPr>
          <w:p>
            <w:r>
              <w:t>$300 per qualified attended appointment</w:t>
            </w:r>
          </w:p>
        </w:tc>
      </w:tr>
      <w:tr>
        <w:tc>
          <w:tcPr>
            <w:tcW w:type="dxa" w:w="4968"/>
            <w:tcBorders>
              <w:top w:val="single" w:sz="4" w:color="D9D9D9"/>
              <w:left w:val="single" w:sz="4" w:color="D9D9D9"/>
              <w:bottom w:val="single" w:sz="4" w:color="D9D9D9"/>
              <w:right w:val="single" w:sz="4" w:color="D9D9D9"/>
            </w:tcBorders>
          </w:tcPr>
          <w:p>
            <w:r>
              <w:t>Billing cap</w:t>
            </w:r>
          </w:p>
        </w:tc>
        <w:tc>
          <w:tcPr>
            <w:tcW w:type="dxa" w:w="4968"/>
            <w:tcBorders>
              <w:top w:val="single" w:sz="4" w:color="D9D9D9"/>
              <w:left w:val="single" w:sz="4" w:color="D9D9D9"/>
              <w:bottom w:val="single" w:sz="4" w:color="D9D9D9"/>
              <w:right w:val="single" w:sz="4" w:color="D9D9D9"/>
            </w:tcBorders>
          </w:tcPr>
          <w:p>
            <w:r>
              <w:t>Five payable appointments; maximum service fees $1,700 total</w:t>
            </w:r>
          </w:p>
        </w:tc>
      </w:tr>
      <w:tr>
        <w:tc>
          <w:tcPr>
            <w:tcW w:type="dxa" w:w="4968"/>
            <w:tcBorders>
              <w:top w:val="single" w:sz="4" w:color="D9D9D9"/>
              <w:left w:val="single" w:sz="4" w:color="D9D9D9"/>
              <w:bottom w:val="single" w:sz="4" w:color="D9D9D9"/>
              <w:right w:val="single" w:sz="4" w:color="D9D9D9"/>
            </w:tcBorders>
          </w:tcPr>
          <w:p>
            <w:r>
              <w:t>Renewal</w:t>
            </w:r>
          </w:p>
        </w:tc>
        <w:tc>
          <w:tcPr>
            <w:tcW w:type="dxa" w:w="4968"/>
            <w:tcBorders>
              <w:top w:val="single" w:sz="4" w:color="D9D9D9"/>
              <w:left w:val="single" w:sz="4" w:color="D9D9D9"/>
              <w:bottom w:val="single" w:sz="4" w:color="D9D9D9"/>
              <w:right w:val="single" w:sz="4" w:color="D9D9D9"/>
            </w:tcBorders>
          </w:tcPr>
          <w:p>
            <w:r>
              <w:t>None automatically; any extension requires a new written agreement</w:t>
            </w:r>
          </w:p>
        </w:tc>
      </w:tr>
    </w:tbl>
    <w:p>
      <w:pPr>
        <w:pStyle w:val="Heading1"/>
      </w:pPr>
      <w:r>
        <w:t>2 Scope and launch</w:t>
      </w:r>
    </w:p>
    <w:p>
      <w:r>
        <w:t>Hotzilo will review Contractor’s approved historical lead list, prepare approved outreach, contact eligible homeowners through approved channels, screen replies, coordinate appointments, and provide weekly activity and appointment reports. This is a managed service, not a software subscription. Advertising, purchased leads, construction sales, estimating, and closing jobs are excluded. Hotzilo cannot bind Contractor or quote pricing, discounts, warranties, financing, or construction terms without specific written authorization.</w:t>
      </w:r>
    </w:p>
    <w:p>
      <w:r>
        <w:t>The parties will confirm the launch date by email after the activation fee, approved list, contact permissions, screening criteria, scripts, calendar availability, and compliance checks are complete. Launch date: __________ End date: __________. There is no automatic extension for pauses. No outreach is authorized merely by signing this agreement.</w:t>
      </w:r>
    </w:p>
    <w:p>
      <w:pPr>
        <w:pStyle w:val="Heading1"/>
      </w:pPr>
      <w:r>
        <w:t>3 Agreed qualification criteria</w:t>
      </w:r>
    </w:p>
    <w:p>
      <w:r>
        <w:t>Eligible services: ______________________________________________________</w:t>
        <w:br/>
        <w:t>Service area: _________________________________________________________</w:t>
        <w:br/>
        <w:t>Minimum project budget or range: ________________________________________</w:t>
        <w:br/>
        <w:t>Desired project timing or maximum horizon: _______________________________</w:t>
        <w:br/>
        <w:t>Accepted appointment format and duration window: _________________________</w:t>
        <w:br/>
        <w:t>Approved channels and sending identity: __________________________________</w:t>
        <w:br/>
        <w:t>List size and maximum outreach attempts per contact: _______________________</w:t>
        <w:br/>
        <w:t>Contractor calendar owner and response contact: ___________________________</w:t>
      </w:r>
    </w:p>
    <w:p>
      <w:r>
        <w:br w:type="page"/>
      </w:r>
    </w:p>
    <w:p>
      <w:pPr>
        <w:pStyle w:val="Heading1"/>
      </w:pPr>
      <w:r>
        <w:t>4 What makes an appointment payable</w:t>
      </w:r>
    </w:p>
    <w:p>
      <w:r>
        <w:t>All of the following must be supported by the appointment record. A reply or a calendar booking alone is never payable.</w:t>
      </w:r>
    </w:p>
    <w:p>
      <w:r>
        <w:t>Eligible and attributable. The contact was in the jointly approved, dated baseline list and was reengaged through documented Hotzilo outreach during the pilot. Before launch, exclude sold, lost-to-another-contractor, suppressed, duplicate, and actively engaged projects. A project with a substantive two-way sales exchange or an existing appointment in the preceding 30 days is actively engaged and excluded unless specifically approved in writing before outreach.</w:t>
      </w:r>
    </w:p>
    <w:p>
      <w:r>
        <w:t>Qualified. The homeowner or authorized project decision-maker confirms a genuine current kitchen or bathroom remodeling need, an address in the agreed area, a self-reported budget meeting the agreed threshold, and timing within the agreed horizon. They agree to speak with Contractor about that project. These are reported intentions, not a guarantee of financing or purchase.</w:t>
      </w:r>
    </w:p>
    <w:p>
      <w:r>
        <w:t>Attended. The homeowner or authorized decision-maker and Contractor’s representative actually participate in a substantive two-way consultation, in the agreed format, sufficient to discuss scope, budget, and next steps. A voicemail, doorstep attempt, brief greeting, wrong-number contact, or connection that ends before a substantive discussion is not attendance. There is no arbitrary minimum call length.</w:t>
      </w:r>
    </w:p>
    <w:p>
      <w:r>
        <w:t>Within the window. The consultation occurs during the 30-day pilot. An appointment booked during the pilot may occur within 14 calendar days after its end only if listed in the closing report delivered within two business days after pilot end. No new outreach or bookings occur after pilot end without a new agreement.</w:t>
      </w:r>
    </w:p>
    <w:p>
      <w:r>
        <w:t>One project and one fee. Only one appointment per household/project is payable for this pilot, regardless of contacts, reschedules, or follow-up visits. Hotzilo will not sell or refer the same reactivated project to another contractor during this pilot.</w:t>
      </w:r>
    </w:p>
    <w:p>
      <w:r>
        <w:t>No fee applies to homeowner or Contractor no-shows, cancellations, appointments that fail any criterion, fabricated or invalid contacts, projects already sold or completed, or appointments created through unauthorized outreach. A later rescheduled appointment can qualify only when actually attended within the permitted window. A legitimate qualifying consultation is payable even if no estimate is issued or no job closes. There is no revenue share or closing bonus.</w:t>
      </w:r>
    </w:p>
    <w:p>
      <w:pPr>
        <w:pStyle w:val="Heading1"/>
      </w:pPr>
      <w:r>
        <w:t>5 Evidence and disputes</w:t>
      </w:r>
    </w:p>
    <w:p>
      <w:r>
        <w:t>For each claimed appointment, Hotzilo will provide the lead/project identifier, outreach attribution, screening answers, appointment date and format, and attendance evidence such as both parties’ confirmation or contemporaneous notes. Calendar acceptance alone does not establish attendance. Recordings are not required and may not be made without legally sufficient consent.</w:t>
      </w:r>
    </w:p>
    <w:p>
      <w:r>
        <w:t>Contractor will report attendance or a specific issue within two business days after each appointment. Failure to respond is not conclusive proof of attendance. Contractor may dispute a charge by email within 10 business days after receipt of the supporting invoice, stating the criterion at issue and available evidence. Hotzilo will respond within five business days; the parties will review their records in good faith. An appointment lacking sufficient evidence is not billable. Pay undisputed amounts on time; disputed amounts are suspended without penalties until resolved. Agreed credits or refunds will be issued within 10 business days. Later-discovered duplication, fraud, or unlawful outreach remains reviewable despite the ordinary dispute window.</w:t>
      </w:r>
    </w:p>
    <w:p>
      <w:r>
        <w:br w:type="page"/>
      </w:r>
    </w:p>
    <w:p>
      <w:pPr>
        <w:pStyle w:val="Heading1"/>
      </w:pPr>
      <w:r>
        <w:t>6 Fees cap and cancellation</w:t>
      </w:r>
    </w:p>
    <w:p>
      <w:r>
        <w:t>Hotzilo invoices attended appointments weekly; undisputed invoices are due 14 calendar days after receipt. All routine pilot labor and messaging costs are included. There are no extra service charges, late fees, or collection costs under this pilot. Any legally required tax must be separately identified and is the only amount outside the $1,700 service-fee ceiling.</w:t>
      </w:r>
    </w:p>
    <w:p>
      <w:r>
        <w:t>Hotzilo will stop new outreach and bookings once five appointments have become payable. Any additional appointments, including appointments already scheduled, are free under this pilot. No fee is due merely because Hotzilo has scheduled five appointments. Hotzilo will monitor the queue and tell Contractor when the cap is reached.</w:t>
      </w:r>
    </w:p>
    <w:p>
      <w:r>
        <w:t>Either party may end the pilot by email at any time. Hotzilo will stop new outreach promptly, no later than one business day after receipt, and immediately for consent or safety concerns. Only qualifying appointments attended before termination are payable; later appointments are free unless separately authorized in writing. Previously earned undisputed fees remain due. The $200 activation fee is refundable if cancellation occurs before setup begins; once documented setup work begins it is earned, except that it will be refunded if Hotzilo cannot launch for reasons within its control. No appointment volume, sales, revenue, or return on investment is guaranteed.</w:t>
      </w:r>
    </w:p>
    <w:p>
      <w:pPr>
        <w:pStyle w:val="Heading1"/>
      </w:pPr>
      <w:r>
        <w:t>7 Customer contact and compliance</w:t>
      </w:r>
    </w:p>
    <w:p>
      <w:r>
        <w:t>Contractor retains ownership of its lead data and supplies only data it is authorized to share and use for the specified campaign. Before launch, Contractor must provide the source and date of each inquiry, available consent language and records, relevant customer relationship history, and all opt-outs and suppression records. An old estimate or possession of a phone number is not by itself authorization for every contact channel or technology.</w:t>
      </w:r>
    </w:p>
    <w:p>
      <w:r>
        <w:t>Both parties are responsible for their own legal obligations. Hotzilo independently reviews whether the planned outreach is permitted and will reject or pause doubtful records. The parties must establish a documented channel-specific legal basis, applicable do-not-call screening and exemptions, permitted local contact hours, required registrations, accurate sender identification, and approved scripts before contact. Applicable requirements may include the TCPA and FCC rules, FTC telemarketing and CAN-SPAM rules, Massachusetts telemarketing and privacy rules, and laws where recipients reside. This agreement does not establish an exemption or transfer statutory responsibility.</w:t>
      </w:r>
    </w:p>
    <w:p>
      <w:r>
        <w:t>No automated marketing texts, autodialed calls, artificial or prerecorded voice calls, or call recording are permitted in this pilot unless separately approved in writing after applicable consent, registration, disclosure, and legal requirements are verified. Carrier registration alone is not customer consent. Commercial emails must use truthful headers and subject lines, required advertising identification and postal address, and a working opt-out method.</w:t>
      </w:r>
    </w:p>
    <w:p>
      <w:r>
        <w:t>Hotzilo will honor stop requests promptly, suppress further outreach immediately upon learning of revocation, and meet any shorter applicable legal deadline. Contractor will do the same. Each will share suppression updates before further contact and within one business day of learning of them. Neither may restart outreach without verified lawful permission. Customer complaints or uncertainty about permission require a pause and joint review. No lead list may be uploaded to an unapproved messaging or AI provider.</w:t>
      </w:r>
    </w:p>
    <w:p>
      <w:r>
        <w:br w:type="page"/>
      </w:r>
    </w:p>
    <w:p>
      <w:pPr>
        <w:pStyle w:val="Heading1"/>
      </w:pPr>
      <w:r>
        <w:t>8 Data security and confidentiality</w:t>
      </w:r>
    </w:p>
    <w:p>
      <w:r>
        <w:t>Each party will protect the other’s nonpublic information, use it only for this pilot, limit access to personnel who need it, and use reasonable access controls, encryption in transit, and secure transfer methods. Hotzilo may use only disclosed service providers bound by appropriate confidentiality and data-protection duties and remains responsible for their performance. Approved providers and data locations must be confirmed before launch. No resale, unrelated marketing, or model training using customer data is authorized.</w:t>
      </w:r>
    </w:p>
    <w:p>
      <w:r>
        <w:t>A party discovering unauthorized access or disclosure will notify the other without undue delay and within 48 hours of discovery, cooperate in investigation and remediation, and meet applicable notice duties. On termination, Hotzilo will return the campaign records in a usable format and delete operational lead copies within 30 days, except minimum suppression records and records reasonably required for legal, billing, or dispute purposes. Retained data remains protected, access-limited, and deleted when no longer required. Contractor may request confirmation of deletion.</w:t>
      </w:r>
    </w:p>
    <w:p>
      <w:pPr>
        <w:pStyle w:val="Heading1"/>
      </w:pPr>
      <w:r>
        <w:t>9 Responsibilities and limits</w:t>
      </w:r>
    </w:p>
    <w:p>
      <w:r>
        <w:t>Contractor will maintain required licenses and insurance, provide accurate service information, keep its calendar current, respond to interested homeowners within one business day, and conduct the consultations and all estimates, sales, and construction work. Hotzilo is an independent contractor, not Contractor’s employee, partner, or exclusive sales representative. Neither party may use the other’s name, customer results, or logo for public promotion without written permission.</w:t>
      </w:r>
    </w:p>
    <w:p>
      <w:r>
        <w:t>Each party is responsible for loss caused by its own breach, negligence, or unlawful conduct. Neither party is liable to the other for speculative lost profits or indirect or consequential damages. Except for unpaid agreed fees, fraud, willful misconduct, gross negligence, confidentiality or data-security breaches, and unlawful customer outreach, each party’s aggregate liability under this agreement is limited to $1,700. These limits apply only to the extent permitted by law and do not limit customer or regulator rights. No indemnity obligation is created by this agreement.</w:t>
      </w:r>
    </w:p>
    <w:p>
      <w:pPr>
        <w:pStyle w:val="Heading1"/>
      </w:pPr>
      <w:r>
        <w:t>10 Resolving issues and agreement terms</w:t>
      </w:r>
    </w:p>
    <w:p>
      <w:r>
        <w:t>The parties will first refer a dispute to their authorized contacts and attempt to resolve it for 15 calendar days after written notice. Either may then seek relief in courts with lawful jurisdiction in Massachusetts; emergency relief and nonwaivable rights remain available. Massachusetts law governs, subject to mandatory applicable law. This agreement and completed launch criteria are the entire pilot agreement. Changes require written approval by both authorized contacts. Email approval is sufficient for operational details; changes to fees, caps, or liability require a signed amendment. Neither party may assign this agreement without the other’s written consent. Electronic signatures and counterparts are permitted. Payment, confidentiality, data protection, dispute, and liability provisions survive as needed to give them effect.</w:t>
      </w:r>
    </w:p>
    <w:p>
      <w:pPr>
        <w:pStyle w:val="Heading1"/>
      </w:pPr>
      <w:r>
        <w:t>11 Signatures</w:t>
      </w:r>
    </w:p>
    <w:p>
      <w:r>
        <w:t>Each signer confirms authority to bind the named legal entity and accepts this agreement and its completed launch criteria.</w:t>
      </w:r>
    </w:p>
    <w:p>
      <w:r>
        <w:t>For Hotzilo</w:t>
        <w:br/>
        <w:t>Signature: __________________________  Date: __________________</w:t>
        <w:br/>
        <w:t>Printed name and title: ________________________________________________</w:t>
      </w:r>
    </w:p>
    <w:p>
      <w:r>
        <w:t>For Contractor</w:t>
        <w:br/>
        <w:t>Signature: __________________________  Date: __________________</w:t>
        <w:br/>
        <w:t>Printed name and title: ________________________________________________</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